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CF" w:rsidRPr="004D1E08" w:rsidRDefault="001340CF" w:rsidP="001340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cs-CZ" w:eastAsia="cs-CZ"/>
        </w:rPr>
      </w:pPr>
      <w:r w:rsidRPr="004D1E0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cs-CZ" w:eastAsia="cs-CZ"/>
        </w:rPr>
        <w:t>Reprezentační předpis České Asociace Teqballu z.s.</w:t>
      </w:r>
    </w:p>
    <w:p w:rsidR="001340CF" w:rsidRDefault="001340CF" w:rsidP="001340CF">
      <w:pPr>
        <w:pStyle w:val="Heading2"/>
      </w:pPr>
      <w:r>
        <w:t>Článek I – Účel a působnost</w:t>
      </w:r>
    </w:p>
    <w:p w:rsidR="001340CF" w:rsidRDefault="001340CF" w:rsidP="001340CF">
      <w:pPr>
        <w:pStyle w:val="NormalWeb"/>
        <w:numPr>
          <w:ilvl w:val="0"/>
          <w:numId w:val="6"/>
        </w:numPr>
      </w:pPr>
      <w:r>
        <w:t>Tento předpis upravuje podmínky účasti hráčů na reprezentačních akcích, kde CATEQ vystupuje jako garant nominace, výběru a organizačního zajištění.</w:t>
      </w:r>
    </w:p>
    <w:p w:rsidR="001340CF" w:rsidRDefault="001340CF" w:rsidP="001340CF">
      <w:pPr>
        <w:pStyle w:val="NormalWeb"/>
        <w:numPr>
          <w:ilvl w:val="0"/>
          <w:numId w:val="6"/>
        </w:numPr>
      </w:pPr>
      <w:r>
        <w:t>Předpis se nevztahuje na akce, kterých se hráči účastní samostatně, bez nominace nebo podpory ze strany CATEQ.</w:t>
      </w:r>
    </w:p>
    <w:p w:rsidR="001340CF" w:rsidRDefault="001340CF" w:rsidP="001340CF">
      <w:pPr>
        <w:pStyle w:val="Heading2"/>
      </w:pPr>
      <w:r>
        <w:t>Článek II – Vymezení reprezentačních akcí</w:t>
      </w:r>
    </w:p>
    <w:p w:rsidR="001340CF" w:rsidRDefault="001340CF" w:rsidP="001340CF">
      <w:pPr>
        <w:pStyle w:val="NormalWeb"/>
        <w:numPr>
          <w:ilvl w:val="0"/>
          <w:numId w:val="7"/>
        </w:numPr>
      </w:pPr>
      <w:r>
        <w:t>Reprezentací CATEQ se rozumí účast hráče na těchto typech akcí:</w:t>
      </w:r>
    </w:p>
    <w:p w:rsidR="001340CF" w:rsidRDefault="001340CF" w:rsidP="001340CF">
      <w:pPr>
        <w:pStyle w:val="NormalWeb"/>
        <w:numPr>
          <w:ilvl w:val="1"/>
          <w:numId w:val="7"/>
        </w:numPr>
      </w:pPr>
      <w:r>
        <w:t>a) Mistrovství Evropy (ME),</w:t>
      </w:r>
    </w:p>
    <w:p w:rsidR="001340CF" w:rsidRDefault="001340CF" w:rsidP="001340CF">
      <w:pPr>
        <w:pStyle w:val="NormalWeb"/>
        <w:numPr>
          <w:ilvl w:val="1"/>
          <w:numId w:val="7"/>
        </w:numPr>
      </w:pPr>
      <w:r>
        <w:t>b) Mistrovství světa (MS),</w:t>
      </w:r>
    </w:p>
    <w:p w:rsidR="001340CF" w:rsidRDefault="001340CF" w:rsidP="001340CF">
      <w:pPr>
        <w:pStyle w:val="NormalWeb"/>
        <w:numPr>
          <w:ilvl w:val="1"/>
          <w:numId w:val="7"/>
        </w:numPr>
      </w:pPr>
      <w:r>
        <w:t>c) Evropské hry</w:t>
      </w:r>
      <w:r w:rsidR="00DD3EEB">
        <w:t xml:space="preserve"> a Olympijské hry</w:t>
      </w:r>
      <w:r>
        <w:t>,</w:t>
      </w:r>
    </w:p>
    <w:p w:rsidR="001340CF" w:rsidRDefault="001340CF" w:rsidP="001340CF">
      <w:pPr>
        <w:pStyle w:val="NormalWeb"/>
        <w:numPr>
          <w:ilvl w:val="1"/>
          <w:numId w:val="7"/>
        </w:numPr>
      </w:pPr>
      <w:r>
        <w:t>d) další vybrané turnaje, kde CATEQ zajišťuje nominaci, registraci nebo organizační podporu.</w:t>
      </w:r>
    </w:p>
    <w:p w:rsidR="001340CF" w:rsidRDefault="001340CF" w:rsidP="001340CF">
      <w:pPr>
        <w:pStyle w:val="NormalWeb"/>
        <w:numPr>
          <w:ilvl w:val="0"/>
          <w:numId w:val="7"/>
        </w:numPr>
      </w:pPr>
      <w:r>
        <w:t xml:space="preserve">Na jiné mezinárodní akce (např. Open </w:t>
      </w:r>
      <w:r w:rsidR="00DD3EEB">
        <w:t xml:space="preserve">a Series </w:t>
      </w:r>
      <w:r>
        <w:t>turnaje, exhibice, komerční soutěže), se tento předpis nevztahuje, pokud CATEQ není organizátorem nebo nominujícím subjektem.</w:t>
      </w:r>
    </w:p>
    <w:p w:rsidR="001340CF" w:rsidRDefault="001340CF" w:rsidP="001340CF">
      <w:pPr>
        <w:pStyle w:val="Heading2"/>
      </w:pPr>
      <w:r>
        <w:t>Článek III – Podmínky reprezentace</w:t>
      </w:r>
    </w:p>
    <w:p w:rsidR="001340CF" w:rsidRDefault="001340CF" w:rsidP="001340CF">
      <w:pPr>
        <w:pStyle w:val="NormalWeb"/>
        <w:numPr>
          <w:ilvl w:val="0"/>
          <w:numId w:val="8"/>
        </w:numPr>
      </w:pPr>
      <w:r>
        <w:t>Reprezentantem CATEQ se může stát pouze hráč, který:</w:t>
      </w:r>
    </w:p>
    <w:p w:rsidR="001340CF" w:rsidRDefault="001340CF" w:rsidP="001340CF">
      <w:pPr>
        <w:pStyle w:val="NormalWeb"/>
        <w:numPr>
          <w:ilvl w:val="1"/>
          <w:numId w:val="8"/>
        </w:numPr>
      </w:pPr>
      <w:r>
        <w:t>a) je řádným členem CATEQ,</w:t>
      </w:r>
    </w:p>
    <w:p w:rsidR="001340CF" w:rsidRDefault="001340CF" w:rsidP="001340CF">
      <w:pPr>
        <w:pStyle w:val="NormalWeb"/>
        <w:numPr>
          <w:ilvl w:val="1"/>
          <w:numId w:val="8"/>
        </w:numPr>
      </w:pPr>
      <w:r>
        <w:t>b) podepsal aktuálně platnou reprezentační smlouvu,</w:t>
      </w:r>
    </w:p>
    <w:p w:rsidR="001340CF" w:rsidRDefault="001340CF" w:rsidP="001340CF">
      <w:pPr>
        <w:pStyle w:val="NormalWeb"/>
        <w:numPr>
          <w:ilvl w:val="1"/>
          <w:numId w:val="8"/>
        </w:numPr>
      </w:pPr>
      <w:r>
        <w:t>c) zavázal se k dodržování stanov, vnitřních předpisů a etických zásad CATEQ,</w:t>
      </w:r>
    </w:p>
    <w:p w:rsidR="001340CF" w:rsidRDefault="001340CF" w:rsidP="001340CF">
      <w:pPr>
        <w:pStyle w:val="NormalWeb"/>
        <w:numPr>
          <w:ilvl w:val="1"/>
          <w:numId w:val="8"/>
        </w:numPr>
      </w:pPr>
      <w:r>
        <w:t>d) neporušil disciplinární řád CATEQ.</w:t>
      </w:r>
    </w:p>
    <w:p w:rsidR="001340CF" w:rsidRDefault="001340CF" w:rsidP="001340CF">
      <w:pPr>
        <w:pStyle w:val="NormalWeb"/>
        <w:numPr>
          <w:ilvl w:val="0"/>
          <w:numId w:val="8"/>
        </w:numPr>
      </w:pPr>
      <w:r>
        <w:t>Odmítnutí podpisu reprezentační smlouvy nebo jejího plnění znamená automatické vyloučení z nominace na reprezentační akce.</w:t>
      </w:r>
    </w:p>
    <w:p w:rsidR="001340CF" w:rsidRDefault="001340CF" w:rsidP="001340CF">
      <w:pPr>
        <w:pStyle w:val="NormalWeb"/>
        <w:numPr>
          <w:ilvl w:val="0"/>
          <w:numId w:val="8"/>
        </w:numPr>
      </w:pPr>
      <w:r>
        <w:t>Reprezentant je povinen:</w:t>
      </w:r>
    </w:p>
    <w:p w:rsidR="001340CF" w:rsidRDefault="001340CF" w:rsidP="00623D74">
      <w:pPr>
        <w:pStyle w:val="NormalWeb"/>
        <w:numPr>
          <w:ilvl w:val="1"/>
          <w:numId w:val="8"/>
        </w:numPr>
        <w:ind w:hanging="306"/>
      </w:pPr>
      <w:r>
        <w:t>a) vystupovat v souladu s hodnotami CATEQ,</w:t>
      </w:r>
    </w:p>
    <w:p w:rsidR="001340CF" w:rsidRDefault="001340CF" w:rsidP="00623D74">
      <w:pPr>
        <w:pStyle w:val="NormalWeb"/>
        <w:numPr>
          <w:ilvl w:val="1"/>
          <w:numId w:val="8"/>
        </w:numPr>
        <w:ind w:hanging="306"/>
      </w:pPr>
      <w:r>
        <w:t>b) chránit dobré jméno asociace na veřejnosti i v médiích,</w:t>
      </w:r>
    </w:p>
    <w:p w:rsidR="00623D74" w:rsidRDefault="001340CF" w:rsidP="00623D74">
      <w:pPr>
        <w:pStyle w:val="NormalWeb"/>
        <w:numPr>
          <w:ilvl w:val="1"/>
          <w:numId w:val="8"/>
        </w:numPr>
        <w:ind w:hanging="306"/>
      </w:pPr>
      <w:r>
        <w:t>c) dodržovat pokyny vedení CATEQ během akcí,</w:t>
      </w:r>
    </w:p>
    <w:p w:rsidR="00623D74" w:rsidRDefault="001340CF" w:rsidP="00623D74">
      <w:pPr>
        <w:pStyle w:val="NormalWeb"/>
        <w:numPr>
          <w:ilvl w:val="1"/>
          <w:numId w:val="8"/>
        </w:numPr>
        <w:ind w:hanging="306"/>
      </w:pPr>
      <w:r>
        <w:t>d) účastnit se tréninků, soustředění a přípravy dle dohody.</w:t>
      </w:r>
    </w:p>
    <w:p w:rsidR="00623D74" w:rsidRDefault="00623D74" w:rsidP="00623D74">
      <w:pPr>
        <w:pStyle w:val="NormalWeb"/>
        <w:numPr>
          <w:ilvl w:val="1"/>
          <w:numId w:val="8"/>
        </w:numPr>
        <w:ind w:hanging="306"/>
      </w:pPr>
      <w:r w:rsidRPr="00623D74">
        <w:t xml:space="preserve"> e) </w:t>
      </w:r>
      <w:r>
        <w:t>r</w:t>
      </w:r>
      <w:r w:rsidRPr="00623D74">
        <w:t>eprezentant nesmí vystupovat jménem CATEQ bez pověření.</w:t>
      </w:r>
    </w:p>
    <w:p w:rsidR="00623D74" w:rsidRDefault="00623D74" w:rsidP="00623D74">
      <w:pPr>
        <w:pStyle w:val="NormalWeb"/>
        <w:numPr>
          <w:ilvl w:val="1"/>
          <w:numId w:val="8"/>
        </w:numPr>
        <w:ind w:hanging="306"/>
      </w:pPr>
      <w:r w:rsidRPr="00623D74">
        <w:t xml:space="preserve"> </w:t>
      </w:r>
      <w:r>
        <w:t>f) r</w:t>
      </w:r>
      <w:r w:rsidRPr="00623D74">
        <w:t>eprezentant je povinen dodržovat zásady digitální etiky a chránit pověst CATEQ i online.</w:t>
      </w:r>
    </w:p>
    <w:p w:rsidR="00623D74" w:rsidRDefault="00623D74" w:rsidP="00623D74">
      <w:pPr>
        <w:pStyle w:val="NormalWeb"/>
        <w:numPr>
          <w:ilvl w:val="1"/>
          <w:numId w:val="8"/>
        </w:numPr>
        <w:ind w:hanging="306"/>
      </w:pPr>
      <w:r w:rsidRPr="00623D74">
        <w:t xml:space="preserve">g) </w:t>
      </w:r>
      <w:r>
        <w:t>n</w:t>
      </w:r>
      <w:r w:rsidRPr="00623D74">
        <w:t>eúčast na povinných aktivitách bez omluvy může vést k vyřazení z nominace.</w:t>
      </w:r>
    </w:p>
    <w:p w:rsidR="008F35F6" w:rsidRDefault="00DD3EEB" w:rsidP="00623D74">
      <w:pPr>
        <w:pStyle w:val="NormalWeb"/>
        <w:numPr>
          <w:ilvl w:val="1"/>
          <w:numId w:val="8"/>
        </w:numPr>
        <w:ind w:hanging="306"/>
      </w:pPr>
      <w:r>
        <w:t>h) r</w:t>
      </w:r>
      <w:r w:rsidR="008F35F6">
        <w:t xml:space="preserve">eprezentant je povinen aktivně spolupracovat s realizačním týmem, respektovat pokyny trenéra a zapojit se do týmových aktivit. </w:t>
      </w:r>
    </w:p>
    <w:p w:rsidR="008F35F6" w:rsidRDefault="00DD3EEB" w:rsidP="00623D74">
      <w:pPr>
        <w:pStyle w:val="NormalWeb"/>
        <w:numPr>
          <w:ilvl w:val="1"/>
          <w:numId w:val="8"/>
        </w:numPr>
        <w:ind w:hanging="306"/>
      </w:pPr>
      <w:bookmarkStart w:id="0" w:name="_GoBack"/>
      <w:r>
        <w:t>i) o</w:t>
      </w:r>
      <w:r w:rsidR="008F35F6">
        <w:t>pakované stranění se kolektivu, ignorování pokynů trenéra nebo narušování týmové spolupráce může vést k okamžitému vyřazení z reprezentace.</w:t>
      </w:r>
    </w:p>
    <w:bookmarkEnd w:id="0"/>
    <w:p w:rsidR="004D1E08" w:rsidRPr="00623D74" w:rsidRDefault="004D1E08" w:rsidP="004D1E08">
      <w:pPr>
        <w:pStyle w:val="NormalWeb"/>
        <w:ind w:left="1440"/>
      </w:pPr>
    </w:p>
    <w:p w:rsidR="009B7A67" w:rsidRDefault="009B7A67" w:rsidP="009B7A67">
      <w:pPr>
        <w:pStyle w:val="Heading2"/>
      </w:pPr>
      <w:r>
        <w:lastRenderedPageBreak/>
        <w:t>Článek IV – Alkohol a návykové látky během reprezentačních aktivit</w:t>
      </w:r>
    </w:p>
    <w:p w:rsidR="009B7A67" w:rsidRPr="009B7A67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9B7A67">
        <w:rPr>
          <w:rFonts w:ascii="Arial" w:hAnsi="Arial" w:cs="Arial"/>
          <w:b/>
          <w:color w:val="000000" w:themeColor="text1"/>
        </w:rPr>
        <w:t xml:space="preserve">1.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Obecný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rámec</w:t>
      </w:r>
      <w:proofErr w:type="spellEnd"/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Během všech reprezentačních aktivit (soustředění, turnaje, zápasy, výjezdy, oficiální akce) je zakázáno:</w:t>
      </w:r>
    </w:p>
    <w:p w:rsidR="009B7A67" w:rsidRPr="009B7A67" w:rsidRDefault="009B7A67" w:rsidP="009B7A67">
      <w:pPr>
        <w:pStyle w:val="Normal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a) konzumovat alkoholické nápoje během oficiálního programu (zápasy, tréninky, porady),</w:t>
      </w:r>
    </w:p>
    <w:p w:rsidR="009B7A67" w:rsidRPr="009B7A67" w:rsidRDefault="009B7A67" w:rsidP="009B7A67">
      <w:pPr>
        <w:pStyle w:val="Normal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b) být pod vlivem alkoholu nebo jiných návykových látek v době programu,</w:t>
      </w:r>
    </w:p>
    <w:p w:rsidR="009B7A67" w:rsidRPr="009B7A67" w:rsidRDefault="009B7A67" w:rsidP="009B7A67">
      <w:pPr>
        <w:pStyle w:val="NormalWeb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c) užívat omamné, psychotropní nebo jinak návykové látky bez lékařského doporučení.</w:t>
      </w:r>
    </w:p>
    <w:p w:rsidR="009B7A67" w:rsidRPr="009B7A67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9B7A67">
        <w:rPr>
          <w:rFonts w:ascii="Arial" w:hAnsi="Arial" w:cs="Arial"/>
          <w:b/>
          <w:color w:val="000000" w:themeColor="text1"/>
        </w:rPr>
        <w:t xml:space="preserve">2.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Omezená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konzumace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alkoholu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mimo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program</w:t>
      </w:r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Za níže uvedených podmínek je povolena omezená konzumace alkoholu:</w:t>
      </w:r>
    </w:p>
    <w:p w:rsidR="009B7A67" w:rsidRPr="009B7A67" w:rsidRDefault="009B7A67" w:rsidP="009B7A67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a) pouze po skončení oficiálního denního programu,</w:t>
      </w:r>
    </w:p>
    <w:p w:rsidR="009B7A67" w:rsidRPr="009B7A67" w:rsidRDefault="009B7A67" w:rsidP="009B7A67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 xml:space="preserve">b) v přiměřeném množství </w:t>
      </w:r>
    </w:p>
    <w:p w:rsidR="009B7A67" w:rsidRPr="009B7A67" w:rsidRDefault="009B7A67" w:rsidP="009B7A67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c) v hotelové restauraci, na pokoji nebo při klidné návštěvě veřejného místa (např. kavárna, bar),</w:t>
      </w:r>
    </w:p>
    <w:p w:rsidR="009B7A67" w:rsidRPr="009B7A67" w:rsidRDefault="009B7A67" w:rsidP="009B7A67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d) bez narušení veřejného pořádku, reputace týmu nebo vztahů s okolím,</w:t>
      </w:r>
    </w:p>
    <w:p w:rsidR="009B7A67" w:rsidRPr="009B7A67" w:rsidRDefault="009B7A67" w:rsidP="009B7A67">
      <w:pPr>
        <w:pStyle w:val="NormalWeb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 xml:space="preserve">e) </w:t>
      </w:r>
      <w:r w:rsidR="00554D26">
        <w:rPr>
          <w:rFonts w:ascii="Arial" w:hAnsi="Arial" w:cs="Arial"/>
          <w:color w:val="000000" w:themeColor="text1"/>
        </w:rPr>
        <w:t>nejpozději do 23:00 daného dne.</w:t>
      </w:r>
    </w:p>
    <w:p w:rsidR="009B7A67" w:rsidRPr="009B7A67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9B7A67">
        <w:rPr>
          <w:rFonts w:ascii="Arial" w:hAnsi="Arial" w:cs="Arial"/>
          <w:b/>
          <w:color w:val="000000" w:themeColor="text1"/>
        </w:rPr>
        <w:t xml:space="preserve">3.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Zákaz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nevhodného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chování</w:t>
      </w:r>
      <w:proofErr w:type="spellEnd"/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Konzumace alkoholu je zakázána, pokud:</w:t>
      </w:r>
    </w:p>
    <w:p w:rsidR="009B7A67" w:rsidRPr="009B7A67" w:rsidRDefault="009B7A67" w:rsidP="009B7A67">
      <w:pPr>
        <w:pStyle w:val="NormalWeb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a) vede ke konfliktům s okolím, personálem nebo veřejností,</w:t>
      </w:r>
    </w:p>
    <w:p w:rsidR="009B7A67" w:rsidRPr="009B7A67" w:rsidRDefault="009B7A67" w:rsidP="009B7A67">
      <w:pPr>
        <w:pStyle w:val="NormalWeb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b) narušuje důstojnost reprezentace nebo dobré jméno CATEQ,</w:t>
      </w:r>
    </w:p>
    <w:p w:rsidR="009B7A67" w:rsidRPr="009B7A67" w:rsidRDefault="009B7A67" w:rsidP="009B7A67">
      <w:pPr>
        <w:pStyle w:val="NormalWeb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c) ohrožuje bezpečnost členů týmu.</w:t>
      </w:r>
    </w:p>
    <w:p w:rsidR="009B7A67" w:rsidRPr="009B7A67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9B7A67">
        <w:rPr>
          <w:rFonts w:ascii="Arial" w:hAnsi="Arial" w:cs="Arial"/>
          <w:b/>
          <w:color w:val="000000" w:themeColor="text1"/>
        </w:rPr>
        <w:t xml:space="preserve">4.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Lékařské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výjimky</w:t>
      </w:r>
      <w:proofErr w:type="spellEnd"/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Užívání léků s obsahem návykových látek je povoleno pouze na základě lékařského doporučení a po předchozím oznámení vedení výpravy.</w:t>
      </w:r>
    </w:p>
    <w:p w:rsidR="009B7A67" w:rsidRPr="009B7A67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9B7A67">
        <w:rPr>
          <w:rFonts w:ascii="Arial" w:hAnsi="Arial" w:cs="Arial"/>
          <w:b/>
          <w:color w:val="000000" w:themeColor="text1"/>
        </w:rPr>
        <w:t xml:space="preserve">5.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Kontrola</w:t>
      </w:r>
      <w:proofErr w:type="spellEnd"/>
      <w:r w:rsidRPr="009B7A67">
        <w:rPr>
          <w:rFonts w:ascii="Arial" w:hAnsi="Arial" w:cs="Arial"/>
          <w:b/>
          <w:color w:val="000000" w:themeColor="text1"/>
        </w:rPr>
        <w:t xml:space="preserve"> a </w:t>
      </w:r>
      <w:proofErr w:type="spellStart"/>
      <w:r w:rsidRPr="009B7A67">
        <w:rPr>
          <w:rFonts w:ascii="Arial" w:hAnsi="Arial" w:cs="Arial"/>
          <w:b/>
          <w:color w:val="000000" w:themeColor="text1"/>
        </w:rPr>
        <w:t>sankce</w:t>
      </w:r>
      <w:proofErr w:type="spellEnd"/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Porušení tohoto článku může vést k:</w:t>
      </w:r>
    </w:p>
    <w:p w:rsidR="009B7A67" w:rsidRPr="009B7A67" w:rsidRDefault="009B7A67" w:rsidP="009B7A67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a) napomenutí nebo okamžitému vyloučení z akce,</w:t>
      </w:r>
    </w:p>
    <w:p w:rsidR="009B7A67" w:rsidRPr="009B7A67" w:rsidRDefault="009B7A67" w:rsidP="009B7A67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b) disciplinárnímu řízení,</w:t>
      </w:r>
    </w:p>
    <w:p w:rsidR="009B7A67" w:rsidRPr="009B7A67" w:rsidRDefault="009B7A67" w:rsidP="009B7A67">
      <w:pPr>
        <w:pStyle w:val="NormalWeb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c) pozastavení činnosti nebo vyloučení z reprezentace.</w:t>
      </w:r>
    </w:p>
    <w:p w:rsidR="009B7A67" w:rsidRPr="00554D26" w:rsidRDefault="009B7A67" w:rsidP="009B7A67">
      <w:pPr>
        <w:pStyle w:val="Heading3"/>
        <w:rPr>
          <w:rFonts w:ascii="Arial" w:hAnsi="Arial" w:cs="Arial"/>
          <w:b/>
          <w:color w:val="000000" w:themeColor="text1"/>
        </w:rPr>
      </w:pPr>
      <w:r w:rsidRPr="00554D26">
        <w:rPr>
          <w:rFonts w:ascii="Arial" w:hAnsi="Arial" w:cs="Arial"/>
          <w:b/>
          <w:color w:val="000000" w:themeColor="text1"/>
        </w:rPr>
        <w:lastRenderedPageBreak/>
        <w:t xml:space="preserve">6. </w:t>
      </w:r>
      <w:proofErr w:type="spellStart"/>
      <w:r w:rsidRPr="00554D26">
        <w:rPr>
          <w:rFonts w:ascii="Arial" w:hAnsi="Arial" w:cs="Arial"/>
          <w:b/>
          <w:color w:val="000000" w:themeColor="text1"/>
        </w:rPr>
        <w:t>Právo</w:t>
      </w:r>
      <w:proofErr w:type="spellEnd"/>
      <w:r w:rsidRPr="00554D26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554D26">
        <w:rPr>
          <w:rFonts w:ascii="Arial" w:hAnsi="Arial" w:cs="Arial"/>
          <w:b/>
          <w:color w:val="000000" w:themeColor="text1"/>
        </w:rPr>
        <w:t>kontroly</w:t>
      </w:r>
      <w:proofErr w:type="spellEnd"/>
    </w:p>
    <w:p w:rsidR="009B7A67" w:rsidRPr="009B7A67" w:rsidRDefault="009B7A67" w:rsidP="009B7A67">
      <w:pPr>
        <w:pStyle w:val="NormalWeb"/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Realizační tým má právo kontrolovat dodržování tohoto ustanovení, včetně přiměřeného dohledu nad večerním režimem a chováním mimo hotel.</w:t>
      </w:r>
    </w:p>
    <w:p w:rsidR="004F1AE4" w:rsidRPr="009B7A67" w:rsidRDefault="004F1AE4" w:rsidP="004F1AE4">
      <w:pPr>
        <w:pStyle w:val="NormalWeb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9B7A67">
        <w:rPr>
          <w:rFonts w:ascii="Arial" w:hAnsi="Arial" w:cs="Arial"/>
          <w:color w:val="000000" w:themeColor="text1"/>
        </w:rPr>
        <w:t>tým má právo provádět kontrolu dodržování tohoto pravidla.</w:t>
      </w:r>
    </w:p>
    <w:p w:rsidR="009B7A67" w:rsidRDefault="009B7A67" w:rsidP="001340CF">
      <w:pPr>
        <w:pStyle w:val="Heading2"/>
      </w:pPr>
    </w:p>
    <w:p w:rsidR="001340CF" w:rsidRDefault="00DD3EEB" w:rsidP="001340CF">
      <w:pPr>
        <w:pStyle w:val="Heading2"/>
      </w:pPr>
      <w:r>
        <w:t xml:space="preserve">Článek </w:t>
      </w:r>
      <w:r w:rsidR="001340CF">
        <w:t>V – Nominace a odvolání</w:t>
      </w:r>
    </w:p>
    <w:p w:rsidR="001340CF" w:rsidRDefault="001340CF" w:rsidP="001340CF">
      <w:pPr>
        <w:pStyle w:val="NormalWeb"/>
        <w:numPr>
          <w:ilvl w:val="0"/>
          <w:numId w:val="9"/>
        </w:numPr>
      </w:pPr>
      <w:r>
        <w:t>Nominaci reprezentantů provádí výbor CATEQ nebo pověřený trenér/reprezentační manažer</w:t>
      </w:r>
      <w:r w:rsidR="004F1AE4">
        <w:t xml:space="preserve"> na základě herních výsledků</w:t>
      </w:r>
      <w:r w:rsidR="00554D26">
        <w:t xml:space="preserve"> a platných pravidel mezinárodní federace FITEQ</w:t>
      </w:r>
      <w:r>
        <w:t>.</w:t>
      </w:r>
    </w:p>
    <w:p w:rsidR="001340CF" w:rsidRDefault="001340CF" w:rsidP="001340CF">
      <w:pPr>
        <w:pStyle w:val="NormalWeb"/>
        <w:numPr>
          <w:ilvl w:val="0"/>
          <w:numId w:val="9"/>
        </w:numPr>
      </w:pPr>
      <w:r>
        <w:t>Nominace může být kdykoli zrušena v případě:</w:t>
      </w:r>
    </w:p>
    <w:p w:rsidR="001340CF" w:rsidRDefault="001340CF" w:rsidP="001340CF">
      <w:pPr>
        <w:pStyle w:val="NormalWeb"/>
        <w:numPr>
          <w:ilvl w:val="1"/>
          <w:numId w:val="9"/>
        </w:numPr>
      </w:pPr>
      <w:r>
        <w:t>a) porušení reprezentační smlouvy,</w:t>
      </w:r>
    </w:p>
    <w:p w:rsidR="001340CF" w:rsidRDefault="001340CF" w:rsidP="001340CF">
      <w:pPr>
        <w:pStyle w:val="NormalWeb"/>
        <w:numPr>
          <w:ilvl w:val="1"/>
          <w:numId w:val="9"/>
        </w:numPr>
      </w:pPr>
      <w:r>
        <w:t>b) disciplinárního přestupku,</w:t>
      </w:r>
    </w:p>
    <w:p w:rsidR="001340CF" w:rsidRDefault="001340CF" w:rsidP="001340CF">
      <w:pPr>
        <w:pStyle w:val="NormalWeb"/>
        <w:numPr>
          <w:ilvl w:val="1"/>
          <w:numId w:val="9"/>
        </w:numPr>
      </w:pPr>
      <w:r>
        <w:t>c) nevhodného chování nebo poškození pověsti CATEQ,</w:t>
      </w:r>
    </w:p>
    <w:p w:rsidR="001340CF" w:rsidRDefault="001340CF" w:rsidP="001340CF">
      <w:pPr>
        <w:pStyle w:val="NormalWeb"/>
        <w:numPr>
          <w:ilvl w:val="1"/>
          <w:numId w:val="9"/>
        </w:numPr>
      </w:pPr>
      <w:r>
        <w:t>d) neúčasti na povinných aktivitách bez řádného omluvení.</w:t>
      </w:r>
    </w:p>
    <w:p w:rsidR="001340CF" w:rsidRDefault="001340CF" w:rsidP="001340CF">
      <w:pPr>
        <w:pStyle w:val="Heading2"/>
      </w:pPr>
      <w:r>
        <w:t>Článek V</w:t>
      </w:r>
      <w:r w:rsidR="00DD3EEB">
        <w:t>I</w:t>
      </w:r>
      <w:r>
        <w:t xml:space="preserve"> – Sankce</w:t>
      </w:r>
    </w:p>
    <w:p w:rsidR="001340CF" w:rsidRDefault="001340CF" w:rsidP="001340CF">
      <w:pPr>
        <w:pStyle w:val="NormalWeb"/>
        <w:numPr>
          <w:ilvl w:val="0"/>
          <w:numId w:val="10"/>
        </w:numPr>
      </w:pPr>
      <w:r>
        <w:t>Porušení tohoto předpisu může vést k:</w:t>
      </w:r>
    </w:p>
    <w:p w:rsidR="001340CF" w:rsidRDefault="001340CF" w:rsidP="001340CF">
      <w:pPr>
        <w:pStyle w:val="NormalWeb"/>
        <w:numPr>
          <w:ilvl w:val="1"/>
          <w:numId w:val="10"/>
        </w:numPr>
      </w:pPr>
      <w:r>
        <w:t>a) dočasnému pozastavení reprezentace,</w:t>
      </w:r>
    </w:p>
    <w:p w:rsidR="001340CF" w:rsidRDefault="001340CF" w:rsidP="001340CF">
      <w:pPr>
        <w:pStyle w:val="NormalWeb"/>
        <w:numPr>
          <w:ilvl w:val="1"/>
          <w:numId w:val="10"/>
        </w:numPr>
      </w:pPr>
      <w:r>
        <w:t>b) trvalému vyloučení z reprezentace,</w:t>
      </w:r>
    </w:p>
    <w:p w:rsidR="001340CF" w:rsidRDefault="001340CF" w:rsidP="001340CF">
      <w:pPr>
        <w:pStyle w:val="NormalWeb"/>
        <w:numPr>
          <w:ilvl w:val="1"/>
          <w:numId w:val="10"/>
        </w:numPr>
      </w:pPr>
      <w:r>
        <w:t>c) disciplinárnímu řízení dle disciplinárního řádu CATEQ.</w:t>
      </w:r>
    </w:p>
    <w:p w:rsidR="001340CF" w:rsidRDefault="001340CF" w:rsidP="001340CF">
      <w:pPr>
        <w:pStyle w:val="Heading2"/>
      </w:pPr>
      <w:r>
        <w:t>Článek V</w:t>
      </w:r>
      <w:r w:rsidR="00DD3EEB">
        <w:t>I</w:t>
      </w:r>
      <w:r>
        <w:t>I – Závěrečná ustanovení</w:t>
      </w:r>
    </w:p>
    <w:p w:rsidR="001340CF" w:rsidRDefault="001340CF" w:rsidP="001340CF">
      <w:pPr>
        <w:pStyle w:val="NormalWeb"/>
        <w:numPr>
          <w:ilvl w:val="0"/>
          <w:numId w:val="11"/>
        </w:numPr>
      </w:pPr>
      <w:r>
        <w:t>Tento předpis nabývá účinnosti dnem schválení výborem CATEQ.</w:t>
      </w:r>
    </w:p>
    <w:p w:rsidR="001340CF" w:rsidRDefault="001340CF" w:rsidP="001340CF">
      <w:pPr>
        <w:pStyle w:val="NormalWeb"/>
        <w:numPr>
          <w:ilvl w:val="0"/>
          <w:numId w:val="11"/>
        </w:numPr>
      </w:pPr>
      <w:r>
        <w:t>Výbor může předpis kdykoli upravit nebo doplnit.</w:t>
      </w:r>
    </w:p>
    <w:p w:rsidR="001340CF" w:rsidRDefault="001340CF" w:rsidP="001340CF">
      <w:pPr>
        <w:pStyle w:val="NormalWeb"/>
        <w:numPr>
          <w:ilvl w:val="0"/>
          <w:numId w:val="11"/>
        </w:numPr>
      </w:pPr>
      <w:r>
        <w:t>Předpis bude zveřejněn členům prostřednictvím e-mailu a webových stránek asociace.</w:t>
      </w:r>
    </w:p>
    <w:p w:rsidR="0006564F" w:rsidRDefault="006A4FA4"/>
    <w:sectPr w:rsidR="0006564F" w:rsidSect="009B7A67">
      <w:footerReference w:type="default" r:id="rId7"/>
      <w:pgSz w:w="12240" w:h="15840"/>
      <w:pgMar w:top="993" w:right="1041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A4" w:rsidRDefault="006A4FA4" w:rsidP="001340CF">
      <w:pPr>
        <w:spacing w:after="0" w:line="240" w:lineRule="auto"/>
      </w:pPr>
      <w:r>
        <w:separator/>
      </w:r>
    </w:p>
  </w:endnote>
  <w:endnote w:type="continuationSeparator" w:id="0">
    <w:p w:rsidR="006A4FA4" w:rsidRDefault="006A4FA4" w:rsidP="0013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0CF" w:rsidRPr="001340CF" w:rsidRDefault="001340CF">
    <w:pPr>
      <w:pStyle w:val="Footer"/>
      <w:rPr>
        <w:lang w:val="cs-CZ"/>
      </w:rPr>
    </w:pPr>
    <w:r>
      <w:rPr>
        <w:lang w:val="cs-CZ"/>
      </w:rPr>
      <w:tab/>
    </w:r>
    <w:r>
      <w:rPr>
        <w:lang w:val="cs-CZ"/>
      </w:rPr>
      <w:tab/>
      <w:t xml:space="preserve">V Pardubicích </w:t>
    </w:r>
    <w:r w:rsidR="004D1E08">
      <w:rPr>
        <w:lang w:val="cs-CZ"/>
      </w:rPr>
      <w:t>1.11</w:t>
    </w:r>
    <w:r>
      <w:rPr>
        <w:lang w:val="cs-CZ"/>
      </w:rPr>
      <w:t>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A4" w:rsidRDefault="006A4FA4" w:rsidP="001340CF">
      <w:pPr>
        <w:spacing w:after="0" w:line="240" w:lineRule="auto"/>
      </w:pPr>
      <w:r>
        <w:separator/>
      </w:r>
    </w:p>
  </w:footnote>
  <w:footnote w:type="continuationSeparator" w:id="0">
    <w:p w:rsidR="006A4FA4" w:rsidRDefault="006A4FA4" w:rsidP="00134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1087"/>
    <w:multiLevelType w:val="multilevel"/>
    <w:tmpl w:val="7DDE0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518F"/>
    <w:multiLevelType w:val="multilevel"/>
    <w:tmpl w:val="3F6C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5082A"/>
    <w:multiLevelType w:val="multilevel"/>
    <w:tmpl w:val="C55E1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7028D"/>
    <w:multiLevelType w:val="multilevel"/>
    <w:tmpl w:val="2A045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9A513A"/>
    <w:multiLevelType w:val="multilevel"/>
    <w:tmpl w:val="CEC6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E3AB3"/>
    <w:multiLevelType w:val="multilevel"/>
    <w:tmpl w:val="3842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0F73DA"/>
    <w:multiLevelType w:val="multilevel"/>
    <w:tmpl w:val="65DE5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D1362"/>
    <w:multiLevelType w:val="multilevel"/>
    <w:tmpl w:val="9A040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6F7873"/>
    <w:multiLevelType w:val="multilevel"/>
    <w:tmpl w:val="369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2D5D53"/>
    <w:multiLevelType w:val="multilevel"/>
    <w:tmpl w:val="EAE8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71F73"/>
    <w:multiLevelType w:val="multilevel"/>
    <w:tmpl w:val="5012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8510B6"/>
    <w:multiLevelType w:val="multilevel"/>
    <w:tmpl w:val="B390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06ED8"/>
    <w:multiLevelType w:val="multilevel"/>
    <w:tmpl w:val="3350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C179B"/>
    <w:multiLevelType w:val="multilevel"/>
    <w:tmpl w:val="9894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DF0FCD"/>
    <w:multiLevelType w:val="multilevel"/>
    <w:tmpl w:val="A994F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75E15"/>
    <w:multiLevelType w:val="multilevel"/>
    <w:tmpl w:val="12965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4726A"/>
    <w:multiLevelType w:val="multilevel"/>
    <w:tmpl w:val="555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1"/>
  </w:num>
  <w:num w:numId="9">
    <w:abstractNumId w:val="14"/>
  </w:num>
  <w:num w:numId="10">
    <w:abstractNumId w:val="10"/>
  </w:num>
  <w:num w:numId="11">
    <w:abstractNumId w:val="4"/>
  </w:num>
  <w:num w:numId="12">
    <w:abstractNumId w:val="11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CF"/>
    <w:rsid w:val="001340CF"/>
    <w:rsid w:val="002B2871"/>
    <w:rsid w:val="002C3F6C"/>
    <w:rsid w:val="004D1E08"/>
    <w:rsid w:val="004F1AE4"/>
    <w:rsid w:val="00554D26"/>
    <w:rsid w:val="00623D74"/>
    <w:rsid w:val="006A4FA4"/>
    <w:rsid w:val="008F35F6"/>
    <w:rsid w:val="008F7FCE"/>
    <w:rsid w:val="009B7A67"/>
    <w:rsid w:val="00AD1965"/>
    <w:rsid w:val="00DD3EEB"/>
    <w:rsid w:val="00DE26AF"/>
    <w:rsid w:val="00D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993E0"/>
  <w15:chartTrackingRefBased/>
  <w15:docId w15:val="{6F930CF8-A053-4807-B44A-E3EFE9D1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34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Heading2">
    <w:name w:val="heading 2"/>
    <w:basedOn w:val="Normal"/>
    <w:link w:val="Heading2Char"/>
    <w:uiPriority w:val="9"/>
    <w:qFormat/>
    <w:rsid w:val="00134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0CF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1340CF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styleId="NormalWeb">
    <w:name w:val="Normal (Web)"/>
    <w:basedOn w:val="Normal"/>
    <w:uiPriority w:val="99"/>
    <w:unhideWhenUsed/>
    <w:rsid w:val="0013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13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0CF"/>
  </w:style>
  <w:style w:type="paragraph" w:styleId="Footer">
    <w:name w:val="footer"/>
    <w:basedOn w:val="Normal"/>
    <w:link w:val="FooterChar"/>
    <w:uiPriority w:val="99"/>
    <w:unhideWhenUsed/>
    <w:rsid w:val="00134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0CF"/>
  </w:style>
  <w:style w:type="paragraph" w:styleId="ListParagraph">
    <w:name w:val="List Paragraph"/>
    <w:basedOn w:val="Normal"/>
    <w:uiPriority w:val="34"/>
    <w:qFormat/>
    <w:rsid w:val="00623D7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E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DD3E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634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Foxconn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Baca</dc:creator>
  <cp:keywords/>
  <dc:description/>
  <cp:lastModifiedBy>Vlastimil Baca</cp:lastModifiedBy>
  <cp:revision>8</cp:revision>
  <dcterms:created xsi:type="dcterms:W3CDTF">2025-10-21T06:42:00Z</dcterms:created>
  <dcterms:modified xsi:type="dcterms:W3CDTF">2025-11-05T06:49:00Z</dcterms:modified>
</cp:coreProperties>
</file>